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附件2：2024年上海市青少年机器人知识与实践比赛规则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链接：https://pan.baidu.com/s/1AEydDZJurRZq9cVTf8_t9g?pwd=1111 </w:t>
      </w:r>
    </w:p>
    <w:p>
      <w:pPr>
        <w:rPr>
          <w:rFonts w:hint="eastAsia"/>
        </w:rPr>
      </w:pPr>
      <w:r>
        <w:rPr>
          <w:rFonts w:hint="eastAsia"/>
        </w:rPr>
        <w:t xml:space="preserve">提取码：1111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mJjMmUxNDRiNGNjMWZmNmIxNDMxYzg0YzMyNGQifQ=="/>
  </w:docVars>
  <w:rsids>
    <w:rsidRoot w:val="00000000"/>
    <w:rsid w:val="6FD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2024-04-02T06:12:21Z</dcterms:created>
  <dc:creator>Administrator</dc:creator>
  <cp:lastModifiedBy>酷乐可</cp:lastModifiedBy>
  <dcterms:modified xsi:type="dcterms:W3CDTF">2024-04-02T06:13:14Z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97E65620C8624EBD96F78C022E54C8C8_12</vt:lpwstr>
  </property>
</Properties>
</file>